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7D236" w14:textId="7A618A41"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104</w:t>
      </w:r>
      <w:r w:rsidRPr="0033027D">
        <w:rPr>
          <w:b/>
          <w:noProof/>
          <w:sz w:val="24"/>
        </w:rPr>
        <w:tab/>
      </w:r>
      <w:r>
        <w:rPr>
          <w:b/>
          <w:noProof/>
          <w:sz w:val="24"/>
        </w:rPr>
        <w:t>R5</w:t>
      </w:r>
      <w:r w:rsidRPr="0033027D">
        <w:rPr>
          <w:b/>
          <w:noProof/>
          <w:sz w:val="24"/>
        </w:rPr>
        <w:t>-</w:t>
      </w:r>
      <w:r>
        <w:rPr>
          <w:b/>
          <w:noProof/>
          <w:sz w:val="24"/>
        </w:rPr>
        <w:t>2441</w:t>
      </w:r>
      <w:r w:rsidR="00962DB4">
        <w:rPr>
          <w:b/>
          <w:noProof/>
          <w:sz w:val="24"/>
        </w:rPr>
        <w:t>40</w:t>
      </w:r>
    </w:p>
    <w:p w14:paraId="2D183098" w14:textId="77777777" w:rsidR="004C21B0" w:rsidRDefault="004C21B0" w:rsidP="004C21B0">
      <w:pPr>
        <w:pStyle w:val="CRCoverPage"/>
        <w:tabs>
          <w:tab w:val="right" w:pos="9639"/>
        </w:tabs>
        <w:spacing w:after="0"/>
        <w:rPr>
          <w:b/>
          <w:noProof/>
          <w:sz w:val="24"/>
        </w:rPr>
      </w:pPr>
      <w:r w:rsidRPr="00F0189A">
        <w:rPr>
          <w:b/>
          <w:noProof/>
          <w:sz w:val="24"/>
        </w:rPr>
        <w:t>Maastricht</w:t>
      </w:r>
      <w:r>
        <w:rPr>
          <w:b/>
          <w:noProof/>
          <w:sz w:val="24"/>
        </w:rPr>
        <w:t xml:space="preserve">, </w:t>
      </w:r>
      <w:r w:rsidRPr="00F0189A">
        <w:rPr>
          <w:b/>
          <w:noProof/>
          <w:sz w:val="24"/>
        </w:rPr>
        <w:t>Netherlands</w:t>
      </w:r>
      <w:r w:rsidRPr="00B01ACB">
        <w:rPr>
          <w:b/>
          <w:noProof/>
          <w:sz w:val="24"/>
        </w:rPr>
        <w:t xml:space="preserve">, </w:t>
      </w:r>
      <w:r w:rsidRPr="00F0189A">
        <w:rPr>
          <w:b/>
          <w:noProof/>
          <w:sz w:val="24"/>
        </w:rPr>
        <w:t>August</w:t>
      </w:r>
      <w:r>
        <w:rPr>
          <w:b/>
          <w:noProof/>
          <w:sz w:val="24"/>
        </w:rPr>
        <w:t xml:space="preserve"> 19-23</w:t>
      </w:r>
      <w:r w:rsidRPr="00B01ACB">
        <w:rPr>
          <w:b/>
          <w:noProof/>
          <w:sz w:val="24"/>
        </w:rPr>
        <w:t>, 202</w:t>
      </w:r>
      <w:r>
        <w:rPr>
          <w:b/>
          <w:noProof/>
          <w:sz w:val="24"/>
        </w:rPr>
        <w:t>4</w:t>
      </w:r>
    </w:p>
    <w:p w14:paraId="140CFBEE" w14:textId="77777777" w:rsidR="004C21B0" w:rsidRDefault="004C21B0" w:rsidP="004C21B0">
      <w:pPr>
        <w:pStyle w:val="CRCoverPage"/>
        <w:tabs>
          <w:tab w:val="right" w:pos="9639"/>
        </w:tabs>
        <w:spacing w:after="0"/>
        <w:rPr>
          <w:b/>
          <w:noProof/>
          <w:sz w:val="24"/>
        </w:rPr>
      </w:pPr>
    </w:p>
    <w:p w14:paraId="5129A297" w14:textId="77777777"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105</w:t>
      </w:r>
      <w:r w:rsidRPr="0033027D">
        <w:rPr>
          <w:b/>
          <w:noProof/>
          <w:sz w:val="24"/>
        </w:rPr>
        <w:tab/>
      </w:r>
      <w:r>
        <w:rPr>
          <w:b/>
          <w:noProof/>
          <w:sz w:val="24"/>
        </w:rPr>
        <w:t>RP</w:t>
      </w:r>
      <w:r w:rsidRPr="0033027D">
        <w:rPr>
          <w:b/>
          <w:noProof/>
          <w:sz w:val="24"/>
        </w:rPr>
        <w:t>-</w:t>
      </w:r>
      <w:r>
        <w:rPr>
          <w:b/>
          <w:noProof/>
          <w:sz w:val="24"/>
        </w:rPr>
        <w:t>24</w:t>
      </w:r>
      <w:r w:rsidRPr="0033027D">
        <w:rPr>
          <w:b/>
          <w:noProof/>
          <w:sz w:val="24"/>
        </w:rPr>
        <w:t>xxxx</w:t>
      </w:r>
    </w:p>
    <w:p w14:paraId="5B51A9BA" w14:textId="454F5F7C" w:rsidR="003D5873" w:rsidRPr="007E1259" w:rsidRDefault="004C21B0" w:rsidP="004C21B0">
      <w:pPr>
        <w:pStyle w:val="CRCoverPage"/>
        <w:tabs>
          <w:tab w:val="right" w:pos="9639"/>
        </w:tabs>
        <w:spacing w:after="0"/>
        <w:rPr>
          <w:b/>
          <w:sz w:val="22"/>
          <w:szCs w:val="18"/>
          <w:lang w:eastAsia="zh-CN"/>
        </w:rPr>
      </w:pPr>
      <w:r w:rsidRPr="00ED1BD9">
        <w:rPr>
          <w:b/>
          <w:noProof/>
          <w:sz w:val="24"/>
        </w:rPr>
        <w:t>Melbourne, AU</w:t>
      </w:r>
      <w:r w:rsidRPr="00B01ACB">
        <w:rPr>
          <w:b/>
          <w:noProof/>
          <w:sz w:val="24"/>
        </w:rPr>
        <w:t xml:space="preserve">, </w:t>
      </w:r>
      <w:r>
        <w:rPr>
          <w:b/>
          <w:noProof/>
          <w:sz w:val="24"/>
        </w:rPr>
        <w:t>Sep 09-12</w:t>
      </w:r>
      <w:r w:rsidRPr="00B01ACB">
        <w:rPr>
          <w:b/>
          <w:noProof/>
          <w:sz w:val="24"/>
        </w:rPr>
        <w:t>, 202</w:t>
      </w:r>
      <w:r>
        <w:rPr>
          <w:b/>
          <w:noProof/>
          <w:sz w:val="24"/>
        </w:rPr>
        <w:t>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15BB0AF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C21B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66BC528" w:rsidR="003F7A64" w:rsidRPr="00E9516C" w:rsidRDefault="00A861B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19251D"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006BD1B5" w:rsidR="00CC633B" w:rsidRPr="00CE20EE" w:rsidRDefault="00CC633B" w:rsidP="00356FF8">
      <w:pPr>
        <w:rPr>
          <w:b/>
          <w:bCs/>
          <w:lang w:eastAsia="ja-JP"/>
        </w:rPr>
      </w:pPr>
      <w:r w:rsidRPr="00CE20EE">
        <w:rPr>
          <w:b/>
          <w:bCs/>
          <w:lang w:eastAsia="ja-JP"/>
        </w:rPr>
        <w:t>RAN5#</w:t>
      </w:r>
      <w:r w:rsidR="00545037">
        <w:rPr>
          <w:b/>
          <w:bCs/>
          <w:lang w:eastAsia="ja-JP"/>
        </w:rPr>
        <w:t>10</w:t>
      </w:r>
      <w:r w:rsidR="00A861BD">
        <w:rPr>
          <w:b/>
          <w:bCs/>
          <w:lang w:eastAsia="ja-JP"/>
        </w:rPr>
        <w:t>4</w:t>
      </w:r>
      <w:r w:rsidRPr="00CE20EE">
        <w:rPr>
          <w:b/>
          <w:bCs/>
          <w:lang w:eastAsia="ja-JP"/>
        </w:rPr>
        <w:t>:</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220" w:type="dxa"/>
        <w:jc w:val="center"/>
        <w:tblLook w:val="04A0" w:firstRow="1" w:lastRow="0" w:firstColumn="1" w:lastColumn="0" w:noHBand="0" w:noVBand="1"/>
      </w:tblPr>
      <w:tblGrid>
        <w:gridCol w:w="1300"/>
        <w:gridCol w:w="7000"/>
        <w:gridCol w:w="1920"/>
      </w:tblGrid>
      <w:tr w:rsidR="00A861BD" w:rsidRPr="00A861BD" w14:paraId="79C216D9"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E13EE"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R5-246007</w:t>
            </w:r>
          </w:p>
        </w:tc>
        <w:tc>
          <w:tcPr>
            <w:tcW w:w="7000" w:type="dxa"/>
            <w:tcBorders>
              <w:top w:val="single" w:sz="4" w:space="0" w:color="auto"/>
              <w:left w:val="nil"/>
              <w:bottom w:val="single" w:sz="4" w:space="0" w:color="auto"/>
              <w:right w:val="single" w:sz="4" w:space="0" w:color="auto"/>
            </w:tcBorders>
            <w:shd w:val="clear" w:color="auto" w:fill="auto"/>
            <w:hideMark/>
          </w:tcPr>
          <w:p w14:paraId="3DDC93C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ICS for advanced receiver for MU-MIMO capabilities</w:t>
            </w:r>
          </w:p>
        </w:tc>
        <w:tc>
          <w:tcPr>
            <w:tcW w:w="1920" w:type="dxa"/>
            <w:tcBorders>
              <w:top w:val="single" w:sz="4" w:space="0" w:color="auto"/>
              <w:left w:val="nil"/>
              <w:bottom w:val="single" w:sz="4" w:space="0" w:color="auto"/>
              <w:right w:val="single" w:sz="4" w:space="0" w:color="auto"/>
            </w:tcBorders>
            <w:shd w:val="clear" w:color="auto" w:fill="auto"/>
            <w:noWrap/>
            <w:hideMark/>
          </w:tcPr>
          <w:p w14:paraId="521E9189"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EB6CB23"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7A1F"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A861BD">
                <w:rPr>
                  <w:rFonts w:ascii="Arial" w:eastAsia="宋体" w:hAnsi="Arial" w:cs="Arial"/>
                  <w:color w:val="008080"/>
                  <w:sz w:val="16"/>
                  <w:szCs w:val="16"/>
                  <w:u w:val="single"/>
                  <w:lang w:val="en-US" w:eastAsia="zh-CN"/>
                </w:rPr>
                <w:t>R5-244143</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17BFDAF4"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applicability rule for Enhanced Receiver Type 2</w:t>
            </w:r>
          </w:p>
        </w:tc>
        <w:tc>
          <w:tcPr>
            <w:tcW w:w="1920" w:type="dxa"/>
            <w:tcBorders>
              <w:top w:val="single" w:sz="4" w:space="0" w:color="auto"/>
              <w:left w:val="nil"/>
              <w:bottom w:val="single" w:sz="4" w:space="0" w:color="auto"/>
              <w:right w:val="single" w:sz="4" w:space="0" w:color="auto"/>
            </w:tcBorders>
            <w:shd w:val="clear" w:color="auto" w:fill="auto"/>
            <w:noWrap/>
            <w:hideMark/>
          </w:tcPr>
          <w:p w14:paraId="363F8AA6"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9C99B80"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C679"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Pr="00A861BD">
                <w:rPr>
                  <w:rFonts w:ascii="Arial" w:eastAsia="宋体" w:hAnsi="Arial" w:cs="Arial"/>
                  <w:color w:val="008080"/>
                  <w:sz w:val="16"/>
                  <w:szCs w:val="16"/>
                  <w:u w:val="single"/>
                  <w:lang w:val="en-US" w:eastAsia="zh-CN"/>
                </w:rPr>
                <w:t>R5-244146</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2D90524C"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definition for Enhanced Receiver Type 2</w:t>
            </w:r>
          </w:p>
        </w:tc>
        <w:tc>
          <w:tcPr>
            <w:tcW w:w="1920" w:type="dxa"/>
            <w:tcBorders>
              <w:top w:val="single" w:sz="4" w:space="0" w:color="auto"/>
              <w:left w:val="nil"/>
              <w:bottom w:val="single" w:sz="4" w:space="0" w:color="auto"/>
              <w:right w:val="single" w:sz="4" w:space="0" w:color="auto"/>
            </w:tcBorders>
            <w:shd w:val="clear" w:color="auto" w:fill="auto"/>
            <w:noWrap/>
            <w:hideMark/>
          </w:tcPr>
          <w:p w14:paraId="14B1F325"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F0AC89F"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F34CD"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4" w:history="1">
              <w:r w:rsidRPr="00A861BD">
                <w:rPr>
                  <w:rFonts w:ascii="Arial" w:eastAsia="宋体" w:hAnsi="Arial" w:cs="Arial"/>
                  <w:color w:val="008080"/>
                  <w:sz w:val="16"/>
                  <w:szCs w:val="16"/>
                  <w:u w:val="single"/>
                  <w:lang w:val="en-US" w:eastAsia="zh-CN"/>
                </w:rPr>
                <w:t>R5-244149</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1247AB97"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RMC for Enhanced Receiver Type 2 test cases</w:t>
            </w:r>
          </w:p>
        </w:tc>
        <w:tc>
          <w:tcPr>
            <w:tcW w:w="1920" w:type="dxa"/>
            <w:tcBorders>
              <w:top w:val="single" w:sz="4" w:space="0" w:color="auto"/>
              <w:left w:val="nil"/>
              <w:bottom w:val="single" w:sz="4" w:space="0" w:color="auto"/>
              <w:right w:val="single" w:sz="4" w:space="0" w:color="auto"/>
            </w:tcBorders>
            <w:shd w:val="clear" w:color="auto" w:fill="auto"/>
            <w:noWrap/>
            <w:hideMark/>
          </w:tcPr>
          <w:p w14:paraId="628E7AD2"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bl>
    <w:p w14:paraId="40C7929B" w14:textId="43500EA3" w:rsidR="00A861BD" w:rsidRDefault="00A861BD" w:rsidP="00A06D6B">
      <w:pPr>
        <w:rPr>
          <w:rFonts w:eastAsiaTheme="minorEastAsia"/>
          <w:lang w:eastAsia="zh-CN"/>
        </w:rPr>
      </w:pPr>
    </w:p>
    <w:p w14:paraId="714E643F" w14:textId="77777777" w:rsidR="00A861BD" w:rsidRDefault="00A861BD" w:rsidP="00A06D6B">
      <w:pPr>
        <w:rPr>
          <w:rFonts w:eastAsiaTheme="minorEastAsia" w:hint="eastAsia"/>
          <w:lang w:eastAsia="zh-CN"/>
        </w:rPr>
      </w:pPr>
    </w:p>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tbl>
      <w:tblPr>
        <w:tblW w:w="10222" w:type="dxa"/>
        <w:jc w:val="center"/>
        <w:tblLook w:val="04A0" w:firstRow="1" w:lastRow="0" w:firstColumn="1" w:lastColumn="0" w:noHBand="0" w:noVBand="1"/>
      </w:tblPr>
      <w:tblGrid>
        <w:gridCol w:w="1300"/>
        <w:gridCol w:w="6973"/>
        <w:gridCol w:w="1949"/>
      </w:tblGrid>
      <w:tr w:rsidR="00A861BD" w:rsidRPr="00A861BD" w14:paraId="0B650AEA"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522F8"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R5-246007</w:t>
            </w:r>
          </w:p>
        </w:tc>
        <w:tc>
          <w:tcPr>
            <w:tcW w:w="6973" w:type="dxa"/>
            <w:tcBorders>
              <w:top w:val="single" w:sz="4" w:space="0" w:color="auto"/>
              <w:left w:val="nil"/>
              <w:bottom w:val="single" w:sz="4" w:space="0" w:color="auto"/>
              <w:right w:val="single" w:sz="4" w:space="0" w:color="auto"/>
            </w:tcBorders>
            <w:shd w:val="clear" w:color="auto" w:fill="auto"/>
            <w:hideMark/>
          </w:tcPr>
          <w:p w14:paraId="5749803E"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ICS for advanced receiver for MU-MIMO capabilities</w:t>
            </w:r>
          </w:p>
        </w:tc>
        <w:tc>
          <w:tcPr>
            <w:tcW w:w="1949" w:type="dxa"/>
            <w:tcBorders>
              <w:top w:val="single" w:sz="4" w:space="0" w:color="auto"/>
              <w:left w:val="nil"/>
              <w:bottom w:val="single" w:sz="4" w:space="0" w:color="auto"/>
              <w:right w:val="single" w:sz="4" w:space="0" w:color="auto"/>
            </w:tcBorders>
            <w:shd w:val="clear" w:color="auto" w:fill="auto"/>
            <w:noWrap/>
            <w:hideMark/>
          </w:tcPr>
          <w:p w14:paraId="39C9BD04"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540B9825"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058EC"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5" w:history="1">
              <w:r w:rsidRPr="00A861BD">
                <w:rPr>
                  <w:rFonts w:ascii="Arial" w:eastAsia="宋体" w:hAnsi="Arial" w:cs="Arial"/>
                  <w:color w:val="008080"/>
                  <w:sz w:val="16"/>
                  <w:szCs w:val="16"/>
                  <w:u w:val="single"/>
                  <w:lang w:val="en-US" w:eastAsia="zh-CN"/>
                </w:rPr>
                <w:t>R5-244143</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65E9B205"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applicability rule for Enhanced Receiver Type 2</w:t>
            </w:r>
          </w:p>
        </w:tc>
        <w:tc>
          <w:tcPr>
            <w:tcW w:w="1949" w:type="dxa"/>
            <w:tcBorders>
              <w:top w:val="single" w:sz="4" w:space="0" w:color="auto"/>
              <w:left w:val="nil"/>
              <w:bottom w:val="single" w:sz="4" w:space="0" w:color="auto"/>
              <w:right w:val="single" w:sz="4" w:space="0" w:color="auto"/>
            </w:tcBorders>
            <w:shd w:val="clear" w:color="auto" w:fill="auto"/>
            <w:noWrap/>
            <w:hideMark/>
          </w:tcPr>
          <w:p w14:paraId="515F6752"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65F66D2C"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897BC"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6" w:history="1">
              <w:r w:rsidRPr="00A861BD">
                <w:rPr>
                  <w:rFonts w:ascii="Arial" w:eastAsia="宋体" w:hAnsi="Arial" w:cs="Arial"/>
                  <w:color w:val="008080"/>
                  <w:sz w:val="16"/>
                  <w:szCs w:val="16"/>
                  <w:u w:val="single"/>
                  <w:lang w:val="en-US" w:eastAsia="zh-CN"/>
                </w:rPr>
                <w:t>R5-244146</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3F63967F"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definition for Enhanced Receiver Type 2</w:t>
            </w:r>
            <w:bookmarkStart w:id="0" w:name="_GoBack"/>
            <w:bookmarkEnd w:id="0"/>
          </w:p>
        </w:tc>
        <w:tc>
          <w:tcPr>
            <w:tcW w:w="1949" w:type="dxa"/>
            <w:tcBorders>
              <w:top w:val="single" w:sz="4" w:space="0" w:color="auto"/>
              <w:left w:val="nil"/>
              <w:bottom w:val="single" w:sz="4" w:space="0" w:color="auto"/>
              <w:right w:val="single" w:sz="4" w:space="0" w:color="auto"/>
            </w:tcBorders>
            <w:shd w:val="clear" w:color="auto" w:fill="auto"/>
            <w:noWrap/>
            <w:hideMark/>
          </w:tcPr>
          <w:p w14:paraId="6A915F00"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6D4C5A8"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71996" w14:textId="77777777" w:rsidR="00A861BD" w:rsidRPr="00A861BD" w:rsidRDefault="00A861BD"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7" w:history="1">
              <w:r w:rsidRPr="00A861BD">
                <w:rPr>
                  <w:rFonts w:ascii="Arial" w:eastAsia="宋体" w:hAnsi="Arial" w:cs="Arial"/>
                  <w:color w:val="008080"/>
                  <w:sz w:val="16"/>
                  <w:szCs w:val="16"/>
                  <w:u w:val="single"/>
                  <w:lang w:val="en-US" w:eastAsia="zh-CN"/>
                </w:rPr>
                <w:t>R5-244149</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34B65001"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RMC for Enhanced Receiver Type 2 test cases</w:t>
            </w:r>
          </w:p>
        </w:tc>
        <w:tc>
          <w:tcPr>
            <w:tcW w:w="1949" w:type="dxa"/>
            <w:tcBorders>
              <w:top w:val="single" w:sz="4" w:space="0" w:color="auto"/>
              <w:left w:val="nil"/>
              <w:bottom w:val="single" w:sz="4" w:space="0" w:color="auto"/>
              <w:right w:val="single" w:sz="4" w:space="0" w:color="auto"/>
            </w:tcBorders>
            <w:shd w:val="clear" w:color="auto" w:fill="auto"/>
            <w:noWrap/>
            <w:hideMark/>
          </w:tcPr>
          <w:p w14:paraId="512801A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B313F5C"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F6AE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R5-244140</w:t>
            </w:r>
          </w:p>
        </w:tc>
        <w:tc>
          <w:tcPr>
            <w:tcW w:w="6973" w:type="dxa"/>
            <w:tcBorders>
              <w:top w:val="single" w:sz="4" w:space="0" w:color="auto"/>
              <w:left w:val="nil"/>
              <w:bottom w:val="single" w:sz="4" w:space="0" w:color="auto"/>
              <w:right w:val="single" w:sz="4" w:space="0" w:color="auto"/>
            </w:tcBorders>
            <w:shd w:val="clear" w:color="auto" w:fill="auto"/>
            <w:hideMark/>
          </w:tcPr>
          <w:p w14:paraId="7B2B3F90"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SR UE Conformance NR demodulation performance evolution RAN5#104</w:t>
            </w:r>
          </w:p>
        </w:tc>
        <w:tc>
          <w:tcPr>
            <w:tcW w:w="1949" w:type="dxa"/>
            <w:tcBorders>
              <w:top w:val="single" w:sz="4" w:space="0" w:color="auto"/>
              <w:left w:val="nil"/>
              <w:bottom w:val="single" w:sz="4" w:space="0" w:color="auto"/>
              <w:right w:val="single" w:sz="4" w:space="0" w:color="auto"/>
            </w:tcBorders>
            <w:shd w:val="clear" w:color="auto" w:fill="auto"/>
            <w:noWrap/>
            <w:hideMark/>
          </w:tcPr>
          <w:p w14:paraId="4532714C"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CFC1135"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88296"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R5-244141</w:t>
            </w:r>
          </w:p>
        </w:tc>
        <w:tc>
          <w:tcPr>
            <w:tcW w:w="6973" w:type="dxa"/>
            <w:tcBorders>
              <w:top w:val="single" w:sz="4" w:space="0" w:color="auto"/>
              <w:left w:val="nil"/>
              <w:bottom w:val="single" w:sz="4" w:space="0" w:color="auto"/>
              <w:right w:val="single" w:sz="4" w:space="0" w:color="auto"/>
            </w:tcBorders>
            <w:shd w:val="clear" w:color="auto" w:fill="auto"/>
            <w:hideMark/>
          </w:tcPr>
          <w:p w14:paraId="58F829E9"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WP NR demodulation performance evolution RAN5#104</w:t>
            </w:r>
          </w:p>
        </w:tc>
        <w:tc>
          <w:tcPr>
            <w:tcW w:w="1949" w:type="dxa"/>
            <w:tcBorders>
              <w:top w:val="single" w:sz="4" w:space="0" w:color="auto"/>
              <w:left w:val="nil"/>
              <w:bottom w:val="single" w:sz="4" w:space="0" w:color="auto"/>
              <w:right w:val="single" w:sz="4" w:space="0" w:color="auto"/>
            </w:tcBorders>
            <w:shd w:val="clear" w:color="auto" w:fill="auto"/>
            <w:noWrap/>
            <w:hideMark/>
          </w:tcPr>
          <w:p w14:paraId="436CB8D8"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 Qualcomm</w:t>
            </w:r>
          </w:p>
        </w:tc>
      </w:tr>
    </w:tbl>
    <w:p w14:paraId="0768865F" w14:textId="77777777" w:rsidR="00280EF5" w:rsidRPr="006A3ADF" w:rsidRDefault="00280EF5" w:rsidP="006A3ADF">
      <w:pPr>
        <w:pStyle w:val="FP"/>
        <w:rPr>
          <w:sz w:val="12"/>
          <w:szCs w:val="12"/>
        </w:rPr>
      </w:pPr>
    </w:p>
    <w:sectPr w:rsidR="00280EF5"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57E68" w14:textId="77777777" w:rsidR="0019251D" w:rsidRDefault="0019251D">
      <w:r>
        <w:separator/>
      </w:r>
    </w:p>
  </w:endnote>
  <w:endnote w:type="continuationSeparator" w:id="0">
    <w:p w14:paraId="0510C334" w14:textId="77777777" w:rsidR="0019251D" w:rsidRDefault="0019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BC2F1" w14:textId="77777777" w:rsidR="0019251D" w:rsidRDefault="0019251D">
      <w:r>
        <w:separator/>
      </w:r>
    </w:p>
  </w:footnote>
  <w:footnote w:type="continuationSeparator" w:id="0">
    <w:p w14:paraId="611B006A" w14:textId="77777777" w:rsidR="0019251D" w:rsidRDefault="00192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4680.10838.rartemp\Tdoc\R5-24414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4680.10838.rartemp\Tdoc\R5-244143.zip" TargetMode="External"/><Relationship Id="rId17" Type="http://schemas.openxmlformats.org/officeDocument/2006/relationships/hyperlink" Target="file:///C:\Users\1\AppData\Local\Temp\Rar$DIa14680.10838.rartemp\Tdoc\R5-244149.zip" TargetMode="External"/><Relationship Id="rId2" Type="http://schemas.openxmlformats.org/officeDocument/2006/relationships/customXml" Target="../customXml/item2.xml"/><Relationship Id="rId16" Type="http://schemas.openxmlformats.org/officeDocument/2006/relationships/hyperlink" Target="file:///C:\Users\1\AppData\Local\Temp\Rar$DIa14680.10838.rartemp\Tdoc\R5-24414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AppData\Local\Temp\Rar$DIa14680.10838.rartemp\Tdoc\R5-244143.zip" TargetMode="External"/><Relationship Id="rId10" Type="http://schemas.openxmlformats.org/officeDocument/2006/relationships/hyperlink" Target="mailto:wujingzhou@chinatelecom.c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AppData\Local\Temp\Rar$DIa14680.10838.rartemp\Tdoc\R5-2441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571</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5</cp:revision>
  <dcterms:created xsi:type="dcterms:W3CDTF">2024-08-07T02:54:00Z</dcterms:created>
  <dcterms:modified xsi:type="dcterms:W3CDTF">2024-08-23T06:31:00Z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